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F2CD" w14:textId="3F744208" w:rsidR="002E5DB0" w:rsidRPr="00BB2242" w:rsidRDefault="00B44745" w:rsidP="00D90CD8">
      <w:pPr>
        <w:pStyle w:val="Rubrik2"/>
        <w:numPr>
          <w:ilvl w:val="0"/>
          <w:numId w:val="7"/>
        </w:numPr>
        <w:rPr>
          <w:rFonts w:ascii="Times New Roman" w:eastAsia="Times New Roman" w:hAnsi="Times New Roman" w:cs="Times New Roman"/>
          <w:sz w:val="48"/>
          <w:szCs w:val="48"/>
          <w:lang w:eastAsia="sv-SE"/>
        </w:rPr>
      </w:pPr>
      <w:r>
        <w:rPr>
          <w:rFonts w:eastAsia="Times New Roman"/>
          <w:lang w:eastAsia="sv-SE"/>
        </w:rPr>
        <w:t>U</w:t>
      </w:r>
      <w:r w:rsidR="002E5DB0" w:rsidRPr="00BB2242">
        <w:rPr>
          <w:rFonts w:eastAsia="Times New Roman"/>
          <w:lang w:eastAsia="sv-SE"/>
        </w:rPr>
        <w:t>ppdragsdialog lärare</w:t>
      </w:r>
    </w:p>
    <w:p w14:paraId="11F47DE4" w14:textId="77777777" w:rsidR="002E5DB0" w:rsidRPr="00BB2242" w:rsidRDefault="002E5DB0" w:rsidP="006D015B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 xml:space="preserve">Fördelningen av lärares arbetsuppgifter ska ske med utgångspunkt från verksamhetens behov. Arbetsinnehållet anpassas till lärares olika förutsättningar. Syftet med uppdragsdialogen är att skapa goda förutsättningar för </w:t>
      </w:r>
      <w:r w:rsidRPr="00B44745">
        <w:rPr>
          <w:lang w:eastAsia="sv-SE"/>
        </w:rPr>
        <w:t>verksamhetens utveckling, öka professionens inflytande över verksamhetens</w:t>
      </w:r>
      <w:r w:rsidRPr="00B44745">
        <w:rPr>
          <w:i/>
          <w:iCs/>
          <w:lang w:eastAsia="sv-SE"/>
        </w:rPr>
        <w:t xml:space="preserve"> </w:t>
      </w:r>
      <w:r w:rsidRPr="00BB2242">
        <w:rPr>
          <w:lang w:eastAsia="sv-SE"/>
        </w:rPr>
        <w:t>utveckling och garantera en rimlig arbetsbelastning.</w:t>
      </w:r>
    </w:p>
    <w:p w14:paraId="6B8E437B" w14:textId="4D158D01" w:rsidR="002E5DB0" w:rsidRPr="00BB2242" w:rsidRDefault="5FA2A431" w:rsidP="006D015B">
      <w:pPr>
        <w:rPr>
          <w:rFonts w:ascii="Times New Roman" w:hAnsi="Times New Roman" w:cs="Times New Roman"/>
          <w:sz w:val="24"/>
          <w:lang w:eastAsia="sv-SE"/>
        </w:rPr>
      </w:pPr>
      <w:r w:rsidRPr="582C4A0A">
        <w:rPr>
          <w:lang w:eastAsia="sv-SE"/>
        </w:rPr>
        <w:t>Uppdragsdialogen är en process som innefattar tre individuella samtal/avstämningar mellan enhetschef</w:t>
      </w:r>
      <w:r w:rsidRPr="582C4A0A">
        <w:rPr>
          <w:i/>
          <w:iCs/>
          <w:color w:val="38761D"/>
          <w:lang w:eastAsia="sv-SE"/>
        </w:rPr>
        <w:t xml:space="preserve"> </w:t>
      </w:r>
      <w:r w:rsidRPr="582C4A0A">
        <w:rPr>
          <w:lang w:eastAsia="sv-SE"/>
        </w:rPr>
        <w:t>och medarbetar</w:t>
      </w:r>
      <w:r w:rsidR="0B62FBC2" w:rsidRPr="582C4A0A">
        <w:rPr>
          <w:lang w:eastAsia="sv-SE"/>
        </w:rPr>
        <w:t>e.</w:t>
      </w:r>
      <w:r w:rsidRPr="582C4A0A">
        <w:rPr>
          <w:lang w:eastAsia="sv-SE"/>
        </w:rPr>
        <w:t xml:space="preserve"> Samtalen/avstämningarna är: planeringssamtal, bedömningssamtal och medarbetarsamtal. Processen börjar under våren med ett planeringssamtal inför kommande arbetsår utifrån samverkad tjänstefördelning och Arbetsmiljöverkets föreskrifter om organisatorisk och social arbetsmiljö, </w:t>
      </w:r>
      <w:hyperlink r:id="rId11">
        <w:r w:rsidRPr="582C4A0A">
          <w:rPr>
            <w:color w:val="1155CC"/>
            <w:u w:val="single"/>
            <w:lang w:eastAsia="sv-SE"/>
          </w:rPr>
          <w:t>AFS 2015:4</w:t>
        </w:r>
      </w:hyperlink>
      <w:r w:rsidRPr="582C4A0A">
        <w:rPr>
          <w:lang w:eastAsia="sv-SE"/>
        </w:rPr>
        <w:t>.</w:t>
      </w:r>
    </w:p>
    <w:p w14:paraId="145A06C5" w14:textId="4F8BA1AE" w:rsidR="002E5DB0" w:rsidRPr="00BB2242" w:rsidRDefault="002E5DB0" w:rsidP="00D90CD8">
      <w:pPr>
        <w:pStyle w:val="Rubrik2"/>
        <w:numPr>
          <w:ilvl w:val="0"/>
          <w:numId w:val="7"/>
        </w:numPr>
        <w:rPr>
          <w:rFonts w:ascii="Times New Roman" w:hAnsi="Times New Roman" w:cs="Times New Roman"/>
          <w:sz w:val="48"/>
          <w:szCs w:val="48"/>
          <w:lang w:eastAsia="sv-SE"/>
        </w:rPr>
      </w:pPr>
      <w:r w:rsidRPr="00BB2242">
        <w:rPr>
          <w:lang w:eastAsia="sv-SE"/>
        </w:rPr>
        <w:t>Uppdragsdialogens innehåll</w:t>
      </w:r>
    </w:p>
    <w:p w14:paraId="5CC275A7" w14:textId="199E63D2" w:rsidR="002E5DB0" w:rsidRPr="00BB2242" w:rsidRDefault="00D90CD8" w:rsidP="006D015B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rFonts w:ascii="Times New Roman" w:hAnsi="Times New Roman" w:cs="Times New Roman"/>
          <w:noProof/>
          <w:sz w:val="24"/>
          <w:bdr w:val="none" w:sz="0" w:space="0" w:color="auto" w:frame="1"/>
          <w:lang w:eastAsia="sv-SE"/>
        </w:rPr>
        <w:drawing>
          <wp:anchor distT="0" distB="0" distL="114300" distR="114300" simplePos="0" relativeHeight="251659776" behindDoc="0" locked="0" layoutInCell="1" allowOverlap="1" wp14:anchorId="21FC155F" wp14:editId="6ADD2394">
            <wp:simplePos x="0" y="0"/>
            <wp:positionH relativeFrom="column">
              <wp:posOffset>2258060</wp:posOffset>
            </wp:positionH>
            <wp:positionV relativeFrom="paragraph">
              <wp:posOffset>12065</wp:posOffset>
            </wp:positionV>
            <wp:extent cx="3565525" cy="2599690"/>
            <wp:effectExtent l="0" t="0" r="0" b="0"/>
            <wp:wrapThrough wrapText="bothSides">
              <wp:wrapPolygon edited="0">
                <wp:start x="0" y="0"/>
                <wp:lineTo x="0" y="21368"/>
                <wp:lineTo x="21465" y="21368"/>
                <wp:lineTo x="21465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DB0" w:rsidRPr="00BB2242">
        <w:rPr>
          <w:lang w:eastAsia="sv-SE"/>
        </w:rPr>
        <w:t xml:space="preserve">Uppdraget ska vara tydligt och ska formuleras skriftligt i det här dokumentet. Hur planeringssamtalet genomförs överenskommes med de lokala parterna på enheten, </w:t>
      </w:r>
      <w:r w:rsidR="00101410">
        <w:rPr>
          <w:lang w:eastAsia="sv-SE"/>
        </w:rPr>
        <w:t>(</w:t>
      </w:r>
      <w:r w:rsidR="00B15EB9" w:rsidRPr="006D015B">
        <w:rPr>
          <w:lang w:eastAsia="sv-SE"/>
        </w:rPr>
        <w:t>l</w:t>
      </w:r>
      <w:r w:rsidR="002E5DB0" w:rsidRPr="00BB2242">
        <w:rPr>
          <w:lang w:eastAsia="sv-SE"/>
        </w:rPr>
        <w:t>ärarorganisationerna).  </w:t>
      </w:r>
    </w:p>
    <w:p w14:paraId="464278F6" w14:textId="109E07D0" w:rsidR="00101410" w:rsidRDefault="00101410" w:rsidP="002E5DB0">
      <w:pPr>
        <w:rPr>
          <w:rFonts w:eastAsia="Times New Roman"/>
          <w:color w:val="000000"/>
          <w:sz w:val="28"/>
          <w:szCs w:val="28"/>
          <w:lang w:eastAsia="sv-SE"/>
        </w:rPr>
      </w:pPr>
    </w:p>
    <w:p w14:paraId="21E59820" w14:textId="1F88A244" w:rsidR="00101410" w:rsidRDefault="00101410" w:rsidP="002E5DB0">
      <w:pPr>
        <w:rPr>
          <w:rFonts w:eastAsia="Times New Roman"/>
          <w:color w:val="000000"/>
          <w:sz w:val="28"/>
          <w:szCs w:val="28"/>
          <w:lang w:eastAsia="sv-SE"/>
        </w:rPr>
      </w:pPr>
    </w:p>
    <w:p w14:paraId="1473BC10" w14:textId="77777777" w:rsidR="00101410" w:rsidRDefault="00101410" w:rsidP="002E5DB0">
      <w:pPr>
        <w:rPr>
          <w:rFonts w:eastAsia="Times New Roman"/>
          <w:color w:val="000000"/>
          <w:sz w:val="28"/>
          <w:szCs w:val="28"/>
          <w:lang w:eastAsia="sv-SE"/>
        </w:rPr>
      </w:pPr>
    </w:p>
    <w:p w14:paraId="72732184" w14:textId="77777777" w:rsidR="00101410" w:rsidRDefault="00101410" w:rsidP="002E5DB0">
      <w:pPr>
        <w:rPr>
          <w:rFonts w:eastAsia="Times New Roman"/>
          <w:color w:val="000000"/>
          <w:sz w:val="28"/>
          <w:szCs w:val="28"/>
          <w:lang w:eastAsia="sv-SE"/>
        </w:rPr>
      </w:pPr>
    </w:p>
    <w:p w14:paraId="4F16F9B9" w14:textId="77777777" w:rsidR="00101410" w:rsidRDefault="00101410" w:rsidP="002E5DB0">
      <w:pPr>
        <w:rPr>
          <w:rFonts w:eastAsia="Times New Roman"/>
          <w:color w:val="000000"/>
          <w:sz w:val="28"/>
          <w:szCs w:val="28"/>
          <w:lang w:eastAsia="sv-SE"/>
        </w:rPr>
      </w:pPr>
    </w:p>
    <w:p w14:paraId="2B286973" w14:textId="5D6E873E" w:rsidR="002E5DB0" w:rsidRPr="00D90CD8" w:rsidRDefault="002E5DB0" w:rsidP="00D90CD8">
      <w:pPr>
        <w:spacing w:after="240"/>
        <w:rPr>
          <w:rFonts w:eastAsia="Times New Roman"/>
          <w:color w:val="000000"/>
          <w:sz w:val="28"/>
          <w:szCs w:val="28"/>
          <w:lang w:eastAsia="sv-SE"/>
        </w:rPr>
      </w:pPr>
      <w:r w:rsidRPr="00BB2242">
        <w:rPr>
          <w:lang w:eastAsia="sv-SE"/>
        </w:rPr>
        <w:t>Planeringssamtalet är ett individuellt samtal med möjlighet till samtal i grupp</w:t>
      </w:r>
      <w:r>
        <w:rPr>
          <w:lang w:eastAsia="sv-SE"/>
        </w:rPr>
        <w:t>.</w:t>
      </w:r>
      <w:r w:rsidRPr="00BB2242">
        <w:rPr>
          <w:lang w:eastAsia="sv-SE"/>
        </w:rPr>
        <w:t xml:space="preserve"> I uppdragsdialogen</w:t>
      </w:r>
      <w:r w:rsidRPr="00BB2242">
        <w:rPr>
          <w:color w:val="FF0000"/>
          <w:lang w:eastAsia="sv-SE"/>
        </w:rPr>
        <w:t xml:space="preserve"> </w:t>
      </w:r>
      <w:r w:rsidRPr="00BB2242">
        <w:rPr>
          <w:lang w:eastAsia="sv-SE"/>
        </w:rPr>
        <w:t>ska</w:t>
      </w:r>
      <w:r w:rsidRPr="00BB2242">
        <w:rPr>
          <w:color w:val="FF0000"/>
          <w:lang w:eastAsia="sv-SE"/>
        </w:rPr>
        <w:t xml:space="preserve"> </w:t>
      </w:r>
      <w:r w:rsidRPr="00BB2242">
        <w:rPr>
          <w:lang w:eastAsia="sv-SE"/>
        </w:rPr>
        <w:t>samtliga uppdrag finnas med och en rimlig uppskattning av uppdragets omfattning ska göras.</w:t>
      </w:r>
    </w:p>
    <w:p w14:paraId="48623C31" w14:textId="74E5B8B9" w:rsidR="002E5DB0" w:rsidRPr="006D015B" w:rsidRDefault="002E5DB0" w:rsidP="006D015B">
      <w:pPr>
        <w:rPr>
          <w:rFonts w:ascii="Times New Roman" w:eastAsia="Times New Roman" w:hAnsi="Times New Roman" w:cs="Times New Roman"/>
          <w:szCs w:val="22"/>
          <w:lang w:eastAsia="sv-SE"/>
        </w:rPr>
      </w:pPr>
      <w:r w:rsidRPr="006D015B">
        <w:rPr>
          <w:rFonts w:eastAsia="Times New Roman"/>
          <w:color w:val="000000"/>
          <w:szCs w:val="22"/>
          <w:lang w:eastAsia="sv-SE"/>
        </w:rPr>
        <w:t>Uppdraget ska motsvara kraven i Arbetsmiljöverkets föreskrifter om organisatorisk och social arbetsmiljö,</w:t>
      </w:r>
      <w:hyperlink r:id="rId13" w:history="1">
        <w:r w:rsidRPr="006D015B">
          <w:rPr>
            <w:rFonts w:eastAsia="Times New Roman"/>
            <w:color w:val="000000"/>
            <w:szCs w:val="22"/>
            <w:u w:val="single"/>
            <w:lang w:eastAsia="sv-SE"/>
          </w:rPr>
          <w:t xml:space="preserve"> </w:t>
        </w:r>
        <w:r w:rsidRPr="006D015B">
          <w:rPr>
            <w:rFonts w:eastAsia="Times New Roman"/>
            <w:color w:val="1155CC"/>
            <w:szCs w:val="22"/>
            <w:u w:val="single"/>
            <w:lang w:eastAsia="sv-SE"/>
          </w:rPr>
          <w:t>AFS 2015:4</w:t>
        </w:r>
      </w:hyperlink>
      <w:r w:rsidRPr="006D015B">
        <w:rPr>
          <w:rFonts w:eastAsia="Times New Roman"/>
          <w:color w:val="000000"/>
          <w:szCs w:val="22"/>
          <w:lang w:eastAsia="sv-SE"/>
        </w:rPr>
        <w:t xml:space="preserve"> när det gäller balans mellan krav och resurser.</w:t>
      </w:r>
    </w:p>
    <w:p w14:paraId="7BABEE5A" w14:textId="28781463" w:rsidR="002E5DB0" w:rsidRPr="00B44745" w:rsidRDefault="5FA2A431" w:rsidP="006D015B">
      <w:pPr>
        <w:rPr>
          <w:rFonts w:ascii="Times New Roman" w:hAnsi="Times New Roman" w:cs="Times New Roman"/>
          <w:sz w:val="24"/>
          <w:lang w:eastAsia="sv-SE"/>
        </w:rPr>
      </w:pPr>
      <w:r w:rsidRPr="582C4A0A">
        <w:rPr>
          <w:lang w:eastAsia="sv-SE"/>
        </w:rPr>
        <w:t>Elevgruppernas sammansättning, ämnen och förutsättningar för lokaler och restid påverkar arbetsbelastningen. Grupper med social problematik, behov av särskilda anpassningar med mera ska identifieras och värderas utifrån arbetsbelastning och svårighetsgrad.</w:t>
      </w:r>
      <w:r w:rsidR="691666FD" w:rsidRPr="582C4A0A">
        <w:rPr>
          <w:lang w:eastAsia="sv-SE"/>
        </w:rPr>
        <w:t xml:space="preserve"> Anpassningar kan göras löpande om behov uppstår. </w:t>
      </w:r>
      <w:r w:rsidRPr="582C4A0A">
        <w:rPr>
          <w:lang w:eastAsia="sv-SE"/>
        </w:rPr>
        <w:t>Det är också viktigt</w:t>
      </w:r>
      <w:r w:rsidR="786B7509" w:rsidRPr="582C4A0A">
        <w:rPr>
          <w:lang w:eastAsia="sv-SE"/>
        </w:rPr>
        <w:t xml:space="preserve"> </w:t>
      </w:r>
      <w:r w:rsidRPr="582C4A0A">
        <w:rPr>
          <w:lang w:eastAsia="sv-SE"/>
        </w:rPr>
        <w:t xml:space="preserve">att ta hänsyn till samarbeten och uppdrag kopplade till dessa. </w:t>
      </w:r>
    </w:p>
    <w:p w14:paraId="0DE3E8A3" w14:textId="77777777" w:rsidR="002E5DB0" w:rsidRPr="00BB2242" w:rsidRDefault="002E5DB0" w:rsidP="006D015B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lastRenderedPageBreak/>
        <w:t>Paus och återhämtning ska finnas dagligen och i rimlig omfattning. Vid samtalet säkerställs att medarbetaren har möjlighet att lägga ut paus, i enlighet med 17§</w:t>
      </w:r>
      <w:hyperlink r:id="rId14" w:history="1">
        <w:r w:rsidRPr="00BB2242">
          <w:rPr>
            <w:u w:val="single"/>
            <w:lang w:eastAsia="sv-SE"/>
          </w:rPr>
          <w:t xml:space="preserve"> </w:t>
        </w:r>
        <w:r w:rsidRPr="00BB2242">
          <w:rPr>
            <w:color w:val="1155CC"/>
            <w:u w:val="single"/>
            <w:lang w:eastAsia="sv-SE"/>
          </w:rPr>
          <w:t>Arbetstidslagen</w:t>
        </w:r>
      </w:hyperlink>
      <w:r w:rsidRPr="00BB2242">
        <w:rPr>
          <w:lang w:eastAsia="sv-SE"/>
        </w:rPr>
        <w:t>:</w:t>
      </w:r>
    </w:p>
    <w:p w14:paraId="7B606517" w14:textId="77777777" w:rsidR="002E5DB0" w:rsidRPr="00BB2242" w:rsidRDefault="002E5DB0" w:rsidP="006D015B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>17§ Arbetsgivaren skall ordna arbetet så att arbetstagarna kan ta de pauser som behövs utöver rasterna. Om arbetsförhållandena kräver det, får i stället särskilda arbetspauser läggas ut. Arbetsgivaren skall i så fall på förhand ange arbetspausernas längd och förläggning så noga som omständigheterna medger. Pauser räknas in i arbetstiden.</w:t>
      </w:r>
    </w:p>
    <w:p w14:paraId="2B58EF54" w14:textId="6151BAF5" w:rsidR="00101410" w:rsidRPr="00F66AFA" w:rsidRDefault="002E5DB0" w:rsidP="002E5DB0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>Då planeringssamtalet utgör grunden för schemaläggning ska grundskoleförvaltningens principer för schemaläggning också gås igenom under samtalet.</w:t>
      </w:r>
    </w:p>
    <w:p w14:paraId="5F89AD6E" w14:textId="77777777" w:rsidR="00F66AFA" w:rsidRDefault="00F66AFA">
      <w:pPr>
        <w:spacing w:after="240"/>
        <w:rPr>
          <w:rFonts w:asciiTheme="majorHAnsi" w:eastAsia="Times New Roman" w:hAnsiTheme="majorHAnsi" w:cstheme="majorBidi"/>
          <w:b/>
          <w:color w:val="262626" w:themeColor="text1" w:themeTint="D9"/>
          <w:sz w:val="28"/>
          <w:szCs w:val="28"/>
          <w:highlight w:val="lightGray"/>
          <w:lang w:eastAsia="sv-SE"/>
        </w:rPr>
      </w:pPr>
      <w:r>
        <w:rPr>
          <w:rFonts w:eastAsia="Times New Roman"/>
          <w:highlight w:val="lightGray"/>
          <w:lang w:eastAsia="sv-SE"/>
        </w:rPr>
        <w:br w:type="page"/>
      </w:r>
    </w:p>
    <w:p w14:paraId="08734512" w14:textId="0E36DC35" w:rsidR="002E5DB0" w:rsidRPr="00B44745" w:rsidRDefault="002E5DB0" w:rsidP="00F66AFA">
      <w:pPr>
        <w:pStyle w:val="Rubrik2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lang w:eastAsia="sv-SE"/>
        </w:rPr>
      </w:pPr>
      <w:r w:rsidRPr="00B44745">
        <w:rPr>
          <w:rFonts w:eastAsia="Times New Roman"/>
          <w:lang w:eastAsia="sv-SE"/>
        </w:rPr>
        <w:lastRenderedPageBreak/>
        <w:t>Dokumentation av planeringssamtalet</w:t>
      </w:r>
    </w:p>
    <w:p w14:paraId="492D7045" w14:textId="31832914" w:rsidR="002E5DB0" w:rsidRPr="00B44745" w:rsidRDefault="00B44745" w:rsidP="00F66AFA">
      <w:pPr>
        <w:rPr>
          <w:sz w:val="48"/>
          <w:szCs w:val="48"/>
          <w:lang w:eastAsia="sv-SE"/>
        </w:rPr>
      </w:pPr>
      <w:r w:rsidRPr="00B44745">
        <w:rPr>
          <w:lang w:eastAsia="sv-SE"/>
        </w:rPr>
        <w:t>Enhet</w:t>
      </w:r>
      <w:r w:rsidR="002E5DB0" w:rsidRPr="00B44745">
        <w:rPr>
          <w:lang w:eastAsia="sv-SE"/>
        </w:rPr>
        <w:t>:</w:t>
      </w:r>
      <w:r w:rsidR="002E5DB0" w:rsidRPr="00B44745">
        <w:rPr>
          <w:lang w:eastAsia="sv-SE"/>
        </w:rPr>
        <w:br/>
        <w:t xml:space="preserve">Namn:           </w:t>
      </w:r>
      <w:r w:rsidR="002E5DB0" w:rsidRPr="00B44745">
        <w:rPr>
          <w:lang w:eastAsia="sv-SE"/>
        </w:rPr>
        <w:br/>
        <w:t xml:space="preserve">Datum:                          </w:t>
      </w:r>
      <w:r w:rsidR="002E5DB0" w:rsidRPr="00B44745">
        <w:rPr>
          <w:lang w:eastAsia="sv-SE"/>
        </w:rPr>
        <w:tab/>
      </w:r>
      <w:r w:rsidR="002E5DB0" w:rsidRPr="00B44745">
        <w:rPr>
          <w:lang w:eastAsia="sv-SE"/>
        </w:rPr>
        <w:br/>
        <w:t>Tjänstgöringsgrad:</w:t>
      </w:r>
      <w:r w:rsidR="002E5DB0" w:rsidRPr="00B44745">
        <w:rPr>
          <w:lang w:eastAsia="sv-SE"/>
        </w:rPr>
        <w:br/>
        <w:t xml:space="preserve">Arbetsår:           </w:t>
      </w:r>
      <w:r w:rsidR="002E5DB0" w:rsidRPr="00B44745">
        <w:rPr>
          <w:lang w:eastAsia="sv-SE"/>
        </w:rPr>
        <w:tab/>
      </w:r>
    </w:p>
    <w:p w14:paraId="68837C81" w14:textId="77777777" w:rsidR="002E5DB0" w:rsidRDefault="002E5DB0" w:rsidP="09155CCF">
      <w:pPr>
        <w:rPr>
          <w:rFonts w:ascii="Times New Roman" w:eastAsia="Times New Roman" w:hAnsi="Times New Roman" w:cs="Times New Roman"/>
          <w:sz w:val="24"/>
          <w:lang w:eastAsia="sv-SE"/>
        </w:rPr>
      </w:pPr>
    </w:p>
    <w:p w14:paraId="55AFCE2A" w14:textId="61489F1E" w:rsidR="00B44745" w:rsidRPr="00B44745" w:rsidRDefault="002E5DB0" w:rsidP="00B44745">
      <w:pPr>
        <w:pStyle w:val="Ingetavstnd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A62358" w:themeColor="accent2" w:themeShade="BF"/>
          <w:lang w:eastAsia="sv-SE"/>
        </w:rPr>
      </w:pPr>
      <w:r w:rsidRPr="00B44745">
        <w:rPr>
          <w:rFonts w:eastAsia="Times New Roman"/>
          <w:b/>
          <w:bCs/>
          <w:color w:val="A62358" w:themeColor="accent2" w:themeShade="BF"/>
          <w:lang w:eastAsia="sv-SE"/>
        </w:rPr>
        <w:t xml:space="preserve">Undervisning enligt samverkad tjänstefördelning. </w:t>
      </w:r>
    </w:p>
    <w:p w14:paraId="725620D6" w14:textId="0A1E0E7E" w:rsidR="00B44745" w:rsidRDefault="0B62FBC2" w:rsidP="00236E2E">
      <w:pPr>
        <w:rPr>
          <w:lang w:eastAsia="sv-SE"/>
        </w:rPr>
      </w:pPr>
      <w:r w:rsidRPr="582C4A0A">
        <w:rPr>
          <w:lang w:eastAsia="sv-SE"/>
        </w:rPr>
        <w:t xml:space="preserve">(Ämnen, grupper, långa ämneskurser, korta ämneskurser, verksamhet i samarbete med skola och fritidshem, </w:t>
      </w:r>
      <w:r w:rsidR="43300CF4" w:rsidRPr="582C4A0A">
        <w:rPr>
          <w:lang w:eastAsia="sv-SE"/>
        </w:rPr>
        <w:t xml:space="preserve">andra förvaltningar och externa aktörer samt </w:t>
      </w:r>
      <w:r w:rsidRPr="582C4A0A">
        <w:rPr>
          <w:lang w:eastAsia="sv-SE"/>
        </w:rPr>
        <w:t xml:space="preserve">öppen verksamhet. </w:t>
      </w:r>
      <w:r w:rsidR="4547EB26" w:rsidRPr="00BD30BF">
        <w:rPr>
          <w:lang w:eastAsia="sv-SE"/>
        </w:rPr>
        <w:t>Förläggning av arbetstid;</w:t>
      </w:r>
      <w:r w:rsidR="4547EB26" w:rsidRPr="582C4A0A">
        <w:rPr>
          <w:lang w:eastAsia="sv-SE"/>
        </w:rPr>
        <w:t xml:space="preserve"> </w:t>
      </w:r>
      <w:r w:rsidRPr="582C4A0A">
        <w:rPr>
          <w:lang w:eastAsia="sv-SE"/>
        </w:rPr>
        <w:t>Dagtid, eftermiddag,</w:t>
      </w:r>
      <w:r w:rsidR="445ED2F3" w:rsidRPr="582C4A0A">
        <w:rPr>
          <w:lang w:eastAsia="sv-SE"/>
        </w:rPr>
        <w:t xml:space="preserve"> kväll,</w:t>
      </w:r>
      <w:r w:rsidRPr="582C4A0A">
        <w:rPr>
          <w:lang w:eastAsia="sv-SE"/>
        </w:rPr>
        <w:t xml:space="preserve"> helg och lov. Tid med deltagare samt särskilda krav utifrån gruppernas sammansättning, barn och unga med särskilda behov med mera) </w:t>
      </w:r>
    </w:p>
    <w:p w14:paraId="72F89CF9" w14:textId="17DB8368" w:rsidR="00101410" w:rsidRDefault="00101410" w:rsidP="05237118">
      <w:pPr>
        <w:rPr>
          <w:szCs w:val="22"/>
          <w:lang w:eastAsia="sv-SE"/>
        </w:rPr>
      </w:pPr>
    </w:p>
    <w:p w14:paraId="360F0F81" w14:textId="77777777" w:rsidR="00101410" w:rsidRDefault="00101410" w:rsidP="00B44745">
      <w:pPr>
        <w:pStyle w:val="Liststycke"/>
        <w:rPr>
          <w:rFonts w:ascii="Times New Roman" w:eastAsia="Times New Roman" w:hAnsi="Times New Roman" w:cs="Times New Roman"/>
          <w:sz w:val="24"/>
          <w:lang w:eastAsia="sv-SE"/>
        </w:rPr>
      </w:pPr>
    </w:p>
    <w:p w14:paraId="0C144ECD" w14:textId="77777777" w:rsidR="00F66AFA" w:rsidRPr="00B44745" w:rsidRDefault="00F66AFA" w:rsidP="00B44745">
      <w:pPr>
        <w:pStyle w:val="Liststycke"/>
        <w:rPr>
          <w:rFonts w:ascii="Times New Roman" w:eastAsia="Times New Roman" w:hAnsi="Times New Roman" w:cs="Times New Roman"/>
          <w:sz w:val="24"/>
          <w:lang w:eastAsia="sv-SE"/>
        </w:rPr>
      </w:pPr>
    </w:p>
    <w:p w14:paraId="12DE71FE" w14:textId="16C4EF33" w:rsidR="002E5DB0" w:rsidRPr="00B44745" w:rsidRDefault="002E5DB0" w:rsidP="00B44745">
      <w:pPr>
        <w:pStyle w:val="Ingetavstnd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A62358" w:themeColor="accent2" w:themeShade="BF"/>
          <w:lang w:eastAsia="sv-SE"/>
        </w:rPr>
      </w:pPr>
      <w:r w:rsidRPr="00B44745">
        <w:rPr>
          <w:rFonts w:eastAsia="Times New Roman"/>
          <w:b/>
          <w:bCs/>
          <w:color w:val="A62358" w:themeColor="accent2" w:themeShade="BF"/>
          <w:lang w:eastAsia="sv-SE"/>
        </w:rPr>
        <w:t>Uppdrag knutna till undervisningen.</w:t>
      </w:r>
    </w:p>
    <w:p w14:paraId="7D644A21" w14:textId="220B2B95" w:rsidR="00101410" w:rsidRDefault="5FA2A431" w:rsidP="00A51FD1">
      <w:pPr>
        <w:rPr>
          <w:lang w:eastAsia="sv-SE"/>
        </w:rPr>
      </w:pPr>
      <w:r w:rsidRPr="582C4A0A">
        <w:rPr>
          <w:lang w:eastAsia="sv-SE"/>
        </w:rPr>
        <w:t xml:space="preserve">Jämför, om möjligt, med föregående år. (Planering och </w:t>
      </w:r>
      <w:r w:rsidR="17838A45" w:rsidRPr="582C4A0A">
        <w:rPr>
          <w:lang w:eastAsia="sv-SE"/>
        </w:rPr>
        <w:t>uppföljning</w:t>
      </w:r>
      <w:r w:rsidRPr="582C4A0A">
        <w:rPr>
          <w:lang w:eastAsia="sv-SE"/>
        </w:rPr>
        <w:t xml:space="preserve"> </w:t>
      </w:r>
      <w:r w:rsidR="05EC313F" w:rsidRPr="582C4A0A">
        <w:rPr>
          <w:lang w:eastAsia="sv-SE"/>
        </w:rPr>
        <w:t xml:space="preserve">av den </w:t>
      </w:r>
      <w:r w:rsidRPr="582C4A0A">
        <w:rPr>
          <w:lang w:eastAsia="sv-SE"/>
        </w:rPr>
        <w:t>konstnärlig</w:t>
      </w:r>
      <w:r w:rsidR="34DE96C9" w:rsidRPr="582C4A0A">
        <w:rPr>
          <w:lang w:eastAsia="sv-SE"/>
        </w:rPr>
        <w:t>a</w:t>
      </w:r>
      <w:r w:rsidRPr="582C4A0A">
        <w:rPr>
          <w:lang w:eastAsia="sv-SE"/>
        </w:rPr>
        <w:t xml:space="preserve"> och pedagogisk</w:t>
      </w:r>
      <w:r w:rsidR="561349BE" w:rsidRPr="582C4A0A">
        <w:rPr>
          <w:lang w:eastAsia="sv-SE"/>
        </w:rPr>
        <w:t>a</w:t>
      </w:r>
      <w:r w:rsidRPr="582C4A0A">
        <w:rPr>
          <w:lang w:eastAsia="sv-SE"/>
        </w:rPr>
        <w:t xml:space="preserve"> verksamhet</w:t>
      </w:r>
      <w:r w:rsidR="1D109971" w:rsidRPr="582C4A0A">
        <w:rPr>
          <w:lang w:eastAsia="sv-SE"/>
        </w:rPr>
        <w:t>en</w:t>
      </w:r>
      <w:r w:rsidRPr="582C4A0A">
        <w:rPr>
          <w:lang w:eastAsia="sv-SE"/>
        </w:rPr>
        <w:t>. Behov av för- och efterarbete, registrera deltagande, kommunikation med skola, fritidshem, barn, unga och vårdnadshavare</w:t>
      </w:r>
      <w:r w:rsidR="2A273A69" w:rsidRPr="582C4A0A">
        <w:rPr>
          <w:lang w:eastAsia="sv-SE"/>
        </w:rPr>
        <w:t xml:space="preserve"> samt andra förvaltningar och externa aktörer</w:t>
      </w:r>
      <w:r w:rsidR="00A51FD1">
        <w:rPr>
          <w:lang w:eastAsia="sv-SE"/>
        </w:rPr>
        <w:t xml:space="preserve"> med mera.</w:t>
      </w:r>
      <w:r w:rsidRPr="582C4A0A">
        <w:rPr>
          <w:lang w:eastAsia="sv-SE"/>
        </w:rPr>
        <w:t xml:space="preserve">) </w:t>
      </w:r>
    </w:p>
    <w:p w14:paraId="67942EA3" w14:textId="77777777" w:rsidR="00101410" w:rsidRDefault="00101410" w:rsidP="00B44745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19E9FBB9" w14:textId="77777777" w:rsidR="00F66AFA" w:rsidRDefault="00F66AFA" w:rsidP="00B44745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58F9C22C" w14:textId="77777777" w:rsidR="00F66AFA" w:rsidRPr="00B44745" w:rsidRDefault="00F66AFA" w:rsidP="00B44745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6689E7CE" w14:textId="43EE3DFE" w:rsidR="002E5DB0" w:rsidRPr="00101410" w:rsidRDefault="002E5DB0" w:rsidP="00101410">
      <w:pPr>
        <w:pStyle w:val="Ingetavstnd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A62358" w:themeColor="accent2" w:themeShade="BF"/>
          <w:lang w:eastAsia="sv-SE"/>
        </w:rPr>
      </w:pPr>
      <w:r w:rsidRPr="00101410">
        <w:rPr>
          <w:rFonts w:eastAsia="Times New Roman"/>
          <w:b/>
          <w:bCs/>
          <w:color w:val="A62358" w:themeColor="accent2" w:themeShade="BF"/>
          <w:lang w:eastAsia="sv-SE"/>
        </w:rPr>
        <w:t xml:space="preserve">Övriga </w:t>
      </w:r>
      <w:r w:rsidRPr="00101410">
        <w:rPr>
          <w:b/>
          <w:bCs/>
          <w:color w:val="A62358" w:themeColor="accent2" w:themeShade="BF"/>
        </w:rPr>
        <w:t>uppdrag</w:t>
      </w:r>
      <w:r w:rsidRPr="00101410">
        <w:rPr>
          <w:rFonts w:eastAsia="Times New Roman"/>
          <w:b/>
          <w:bCs/>
          <w:color w:val="A62358" w:themeColor="accent2" w:themeShade="BF"/>
          <w:lang w:eastAsia="sv-SE"/>
        </w:rPr>
        <w:t>.</w:t>
      </w:r>
    </w:p>
    <w:p w14:paraId="2579EF5F" w14:textId="085BFC67" w:rsidR="002E5DB0" w:rsidRDefault="002E5DB0" w:rsidP="00236E2E">
      <w:pPr>
        <w:rPr>
          <w:lang w:eastAsia="sv-SE"/>
        </w:rPr>
      </w:pPr>
      <w:r w:rsidRPr="00101410">
        <w:rPr>
          <w:lang w:eastAsia="sv-SE"/>
        </w:rPr>
        <w:t>Jämför, om möjligt, med föregående år. (Arbetsgrupper/fackligt ombud/arbetsmiljöuppgifter/SÄLSAM-ansvar/inköps-ansvar och inventering, samordningsuppdrag med mera)</w:t>
      </w:r>
    </w:p>
    <w:p w14:paraId="4BEEB470" w14:textId="1F8D0F4C" w:rsidR="00101410" w:rsidRDefault="00101410" w:rsidP="00101410">
      <w:pPr>
        <w:ind w:left="720"/>
        <w:rPr>
          <w:rFonts w:eastAsia="Times New Roman"/>
          <w:lang w:eastAsia="sv-SE"/>
        </w:rPr>
      </w:pPr>
    </w:p>
    <w:p w14:paraId="060E6AFA" w14:textId="77777777" w:rsidR="00101410" w:rsidRDefault="00101410" w:rsidP="00101410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2C0A6C2B" w14:textId="77777777" w:rsidR="00F66AFA" w:rsidRDefault="00F66AFA" w:rsidP="00101410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062EDF20" w14:textId="77777777" w:rsidR="00F66AFA" w:rsidRDefault="00F66AFA" w:rsidP="00101410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385D01CC" w14:textId="09A1A94B" w:rsidR="002E5DB0" w:rsidRPr="00101410" w:rsidRDefault="002E5DB0" w:rsidP="00101410">
      <w:pPr>
        <w:pStyle w:val="Ingetavstnd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A62358" w:themeColor="accent2" w:themeShade="BF"/>
          <w:lang w:eastAsia="sv-SE"/>
        </w:rPr>
      </w:pPr>
      <w:r w:rsidRPr="00101410">
        <w:rPr>
          <w:rFonts w:eastAsia="Times New Roman"/>
          <w:b/>
          <w:bCs/>
          <w:color w:val="A62358" w:themeColor="accent2" w:themeShade="BF"/>
          <w:lang w:eastAsia="sv-SE"/>
        </w:rPr>
        <w:t>Prioriteringsordning för ovanstående uppdrag behöver vara tydligt</w:t>
      </w:r>
    </w:p>
    <w:p w14:paraId="631AB7CA" w14:textId="2147BD14" w:rsidR="002E5DB0" w:rsidRDefault="002E5DB0" w:rsidP="00236E2E">
      <w:pPr>
        <w:rPr>
          <w:lang w:eastAsia="sv-SE"/>
        </w:rPr>
      </w:pPr>
      <w:r w:rsidRPr="00BB2242">
        <w:rPr>
          <w:lang w:eastAsia="sv-SE"/>
        </w:rPr>
        <w:t xml:space="preserve">Uppstår tveksamhet, kontakta </w:t>
      </w:r>
      <w:r w:rsidRPr="00101410">
        <w:rPr>
          <w:lang w:eastAsia="sv-SE"/>
        </w:rPr>
        <w:t>din närmaste chef</w:t>
      </w:r>
      <w:r w:rsidRPr="00101410">
        <w:rPr>
          <w:i/>
          <w:iCs/>
          <w:lang w:eastAsia="sv-SE"/>
        </w:rPr>
        <w:t xml:space="preserve"> </w:t>
      </w:r>
      <w:r w:rsidRPr="00BB2242">
        <w:rPr>
          <w:lang w:eastAsia="sv-SE"/>
        </w:rPr>
        <w:t>för hjälp med prioritering.</w:t>
      </w:r>
    </w:p>
    <w:p w14:paraId="582D7BF6" w14:textId="3B6FA895" w:rsidR="00101410" w:rsidRDefault="00101410" w:rsidP="00101410">
      <w:pPr>
        <w:ind w:left="720"/>
        <w:rPr>
          <w:rFonts w:eastAsia="Times New Roman"/>
          <w:lang w:eastAsia="sv-SE"/>
        </w:rPr>
      </w:pPr>
    </w:p>
    <w:p w14:paraId="45A33C90" w14:textId="77777777" w:rsidR="00101410" w:rsidRDefault="00101410" w:rsidP="00101410">
      <w:pPr>
        <w:ind w:left="720"/>
        <w:rPr>
          <w:rFonts w:eastAsia="Times New Roman"/>
          <w:lang w:eastAsia="sv-SE"/>
        </w:rPr>
      </w:pPr>
    </w:p>
    <w:p w14:paraId="72EDF426" w14:textId="77777777" w:rsidR="00101410" w:rsidRPr="00BB2242" w:rsidRDefault="00101410" w:rsidP="00101410">
      <w:pPr>
        <w:ind w:left="720"/>
        <w:rPr>
          <w:rFonts w:ascii="Times New Roman" w:eastAsia="Times New Roman" w:hAnsi="Times New Roman" w:cs="Times New Roman"/>
          <w:sz w:val="24"/>
          <w:lang w:eastAsia="sv-SE"/>
        </w:rPr>
      </w:pPr>
    </w:p>
    <w:p w14:paraId="738801B4" w14:textId="39191796" w:rsidR="002E5DB0" w:rsidRPr="00101410" w:rsidRDefault="002E5DB0" w:rsidP="00101410">
      <w:pPr>
        <w:pStyle w:val="Ingetavstnd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A62358" w:themeColor="accent2" w:themeShade="BF"/>
          <w:lang w:eastAsia="sv-SE"/>
        </w:rPr>
      </w:pPr>
      <w:r w:rsidRPr="00101410">
        <w:rPr>
          <w:rFonts w:eastAsia="Times New Roman"/>
          <w:b/>
          <w:bCs/>
          <w:color w:val="A62358" w:themeColor="accent2" w:themeShade="BF"/>
          <w:lang w:eastAsia="sv-SE"/>
        </w:rPr>
        <w:t>Paus och återhämtning ska finnas dagligen och i rimlig omfattning.</w:t>
      </w:r>
    </w:p>
    <w:p w14:paraId="43B641EA" w14:textId="2DBC3BC9" w:rsidR="002E5DB0" w:rsidRDefault="002E5DB0" w:rsidP="00236E2E">
      <w:pPr>
        <w:rPr>
          <w:rFonts w:eastAsia="Times New Roman"/>
          <w:color w:val="000000"/>
          <w:szCs w:val="22"/>
          <w:lang w:eastAsia="sv-SE"/>
        </w:rPr>
      </w:pPr>
      <w:r w:rsidRPr="00101410">
        <w:rPr>
          <w:rFonts w:eastAsia="Times New Roman"/>
          <w:color w:val="000000"/>
          <w:szCs w:val="22"/>
          <w:lang w:eastAsia="sv-SE"/>
        </w:rPr>
        <w:t>Säkerställs vid terminsstart. Jämför med Arbetsmiljöverkets föreskrifter om organisatorisk och social arbetsmiljö,</w:t>
      </w:r>
      <w:hyperlink r:id="rId15" w:history="1">
        <w:r w:rsidRPr="00101410">
          <w:rPr>
            <w:rFonts w:eastAsia="Times New Roman"/>
            <w:color w:val="000000"/>
            <w:szCs w:val="22"/>
            <w:u w:val="single"/>
            <w:lang w:eastAsia="sv-SE"/>
          </w:rPr>
          <w:t xml:space="preserve"> </w:t>
        </w:r>
        <w:r w:rsidRPr="00101410">
          <w:rPr>
            <w:rFonts w:eastAsia="Times New Roman"/>
            <w:color w:val="1155CC"/>
            <w:szCs w:val="22"/>
            <w:u w:val="single"/>
            <w:lang w:eastAsia="sv-SE"/>
          </w:rPr>
          <w:t>AFS 2015:4</w:t>
        </w:r>
      </w:hyperlink>
      <w:r w:rsidRPr="00101410">
        <w:rPr>
          <w:rFonts w:eastAsia="Times New Roman"/>
          <w:color w:val="000000"/>
          <w:szCs w:val="22"/>
          <w:lang w:eastAsia="sv-SE"/>
        </w:rPr>
        <w:t xml:space="preserve"> 10§ punkt 1 och 2 samt</w:t>
      </w:r>
      <w:hyperlink r:id="rId16" w:history="1">
        <w:r w:rsidRPr="00101410">
          <w:rPr>
            <w:rFonts w:eastAsia="Times New Roman"/>
            <w:color w:val="000000"/>
            <w:szCs w:val="22"/>
            <w:u w:val="single"/>
            <w:lang w:eastAsia="sv-SE"/>
          </w:rPr>
          <w:t xml:space="preserve"> </w:t>
        </w:r>
        <w:r w:rsidRPr="00101410">
          <w:rPr>
            <w:rFonts w:eastAsia="Times New Roman"/>
            <w:color w:val="1155CC"/>
            <w:szCs w:val="22"/>
            <w:u w:val="single"/>
            <w:lang w:eastAsia="sv-SE"/>
          </w:rPr>
          <w:t>Arbetstidslagen</w:t>
        </w:r>
      </w:hyperlink>
      <w:r w:rsidRPr="00101410">
        <w:rPr>
          <w:rFonts w:eastAsia="Times New Roman"/>
          <w:color w:val="000000"/>
          <w:szCs w:val="22"/>
          <w:lang w:eastAsia="sv-SE"/>
        </w:rPr>
        <w:t xml:space="preserve"> 15§ och 17§.  </w:t>
      </w:r>
    </w:p>
    <w:p w14:paraId="38938EE4" w14:textId="6D2ABAF6" w:rsidR="00101410" w:rsidRDefault="00101410" w:rsidP="582C4A0A">
      <w:pPr>
        <w:rPr>
          <w:rFonts w:eastAsia="Times New Roman"/>
          <w:szCs w:val="22"/>
          <w:lang w:eastAsia="sv-SE"/>
        </w:rPr>
      </w:pPr>
    </w:p>
    <w:p w14:paraId="00C1D827" w14:textId="379A1EBE" w:rsidR="582C4A0A" w:rsidRDefault="582C4A0A" w:rsidP="582C4A0A">
      <w:pPr>
        <w:rPr>
          <w:rFonts w:eastAsia="Times New Roman"/>
          <w:szCs w:val="22"/>
          <w:lang w:eastAsia="sv-SE"/>
        </w:rPr>
      </w:pPr>
    </w:p>
    <w:p w14:paraId="420B7AA9" w14:textId="38127EB4" w:rsidR="002E5DB0" w:rsidRPr="00BB2242" w:rsidRDefault="002E5DB0" w:rsidP="00236E2E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>Vid varje uppföljning i uppdragsdialogen ska detta dokument användas som underlag och vid behov revideras.</w:t>
      </w:r>
    </w:p>
    <w:p w14:paraId="4D6D7844" w14:textId="77777777" w:rsidR="002E5DB0" w:rsidRPr="00BB2242" w:rsidRDefault="002E5DB0" w:rsidP="00236E2E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>Arbetsgivare och arbetstagare är överens om att uppdraget verkar rimligt under kommande år.</w:t>
      </w:r>
    </w:p>
    <w:p w14:paraId="7BAB9E7E" w14:textId="77777777" w:rsidR="002E5DB0" w:rsidRPr="00BB2242" w:rsidRDefault="002E5DB0" w:rsidP="002E5DB0">
      <w:pPr>
        <w:rPr>
          <w:rFonts w:ascii="Times New Roman" w:eastAsia="Times New Roman" w:hAnsi="Times New Roman" w:cs="Times New Roman"/>
          <w:sz w:val="24"/>
          <w:lang w:eastAsia="sv-SE"/>
        </w:rPr>
      </w:pPr>
      <w:r w:rsidRPr="00BB2242">
        <w:rPr>
          <w:rFonts w:eastAsia="Times New Roman"/>
          <w:color w:val="000000"/>
          <w:sz w:val="28"/>
          <w:szCs w:val="28"/>
          <w:lang w:eastAsia="sv-SE"/>
        </w:rPr>
        <w:t> </w:t>
      </w:r>
    </w:p>
    <w:p w14:paraId="01EC4728" w14:textId="77777777" w:rsidR="002E5DB0" w:rsidRPr="00BB2242" w:rsidRDefault="002E5DB0" w:rsidP="00236E2E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 xml:space="preserve">Datum                               </w:t>
      </w:r>
      <w:r w:rsidRPr="00BB2242">
        <w:rPr>
          <w:lang w:eastAsia="sv-SE"/>
        </w:rPr>
        <w:tab/>
        <w:t>Datum</w:t>
      </w:r>
    </w:p>
    <w:p w14:paraId="607274EA" w14:textId="77777777" w:rsidR="002E5DB0" w:rsidRPr="00BB2242" w:rsidRDefault="002E5DB0" w:rsidP="00236E2E">
      <w:pPr>
        <w:rPr>
          <w:rFonts w:ascii="Times New Roman" w:hAnsi="Times New Roman" w:cs="Times New Roman"/>
          <w:sz w:val="24"/>
          <w:lang w:eastAsia="sv-SE"/>
        </w:rPr>
      </w:pPr>
      <w:r w:rsidRPr="00BB2242">
        <w:rPr>
          <w:lang w:eastAsia="sv-SE"/>
        </w:rPr>
        <w:t xml:space="preserve">Underskrift chef                 </w:t>
      </w:r>
      <w:r w:rsidRPr="00BB2242">
        <w:rPr>
          <w:lang w:eastAsia="sv-SE"/>
        </w:rPr>
        <w:tab/>
        <w:t>Underskrift medarbetare</w:t>
      </w:r>
    </w:p>
    <w:p w14:paraId="78BE8698" w14:textId="01879ACA" w:rsidR="00B65C0A" w:rsidRPr="002E5DB0" w:rsidRDefault="00B65C0A" w:rsidP="002E5DB0"/>
    <w:sectPr w:rsidR="00B65C0A" w:rsidRPr="002E5DB0" w:rsidSect="0013178D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325" w:right="2268" w:bottom="1769" w:left="2268" w:header="737" w:footer="28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0CE1" w14:textId="77777777" w:rsidR="008257FA" w:rsidRDefault="008257FA" w:rsidP="00BF282B">
      <w:pPr>
        <w:spacing w:after="0"/>
      </w:pPr>
      <w:r>
        <w:separator/>
      </w:r>
    </w:p>
  </w:endnote>
  <w:endnote w:type="continuationSeparator" w:id="0">
    <w:p w14:paraId="697851A4" w14:textId="77777777" w:rsidR="008257FA" w:rsidRDefault="008257FA" w:rsidP="00BF282B">
      <w:pPr>
        <w:spacing w:after="0"/>
      </w:pPr>
      <w:r>
        <w:continuationSeparator/>
      </w:r>
    </w:p>
  </w:endnote>
  <w:endnote w:type="continuationNotice" w:id="1">
    <w:p w14:paraId="19E59880" w14:textId="77777777" w:rsidR="008257FA" w:rsidRDefault="008257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E6BDE1D" w14:textId="77777777" w:rsidTr="00986A1D">
      <w:tc>
        <w:tcPr>
          <w:tcW w:w="5812" w:type="dxa"/>
        </w:tcPr>
        <w:p w14:paraId="455C2EE8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7C8052EB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1F9FD00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14D55">
            <w:rPr>
              <w:noProof/>
            </w:rPr>
            <w:fldChar w:fldCharType="begin"/>
          </w:r>
          <w:r w:rsidR="00814D55">
            <w:rPr>
              <w:noProof/>
            </w:rPr>
            <w:instrText xml:space="preserve"> NUMPAGES   \* MERGEFORMAT </w:instrText>
          </w:r>
          <w:r w:rsidR="00814D55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814D55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CC51B8A" w14:textId="77777777" w:rsidTr="00986A1D">
      <w:tc>
        <w:tcPr>
          <w:tcW w:w="5812" w:type="dxa"/>
        </w:tcPr>
        <w:p w14:paraId="1B34D4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4D0D2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A370B9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60B740D" w14:textId="77777777" w:rsidTr="00986A1D">
      <w:tc>
        <w:tcPr>
          <w:tcW w:w="5812" w:type="dxa"/>
        </w:tcPr>
        <w:p w14:paraId="10BE5BF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1DBF776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EB1620E" w14:textId="77777777" w:rsidR="00986A1D" w:rsidRDefault="00986A1D" w:rsidP="00986A1D">
          <w:pPr>
            <w:pStyle w:val="Sidfot"/>
            <w:jc w:val="right"/>
          </w:pPr>
        </w:p>
      </w:tc>
    </w:tr>
  </w:tbl>
  <w:p w14:paraId="506FDCB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548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261"/>
      <w:gridCol w:w="4942"/>
      <w:gridCol w:w="2570"/>
    </w:tblGrid>
    <w:tr w:rsidR="003949A8" w:rsidRPr="004473A7" w14:paraId="5302B37A" w14:textId="77777777" w:rsidTr="00984D68">
      <w:trPr>
        <w:trHeight w:hRule="exact" w:val="284"/>
      </w:trPr>
      <w:tc>
        <w:tcPr>
          <w:tcW w:w="8203" w:type="dxa"/>
          <w:gridSpan w:val="2"/>
        </w:tcPr>
        <w:p w14:paraId="46DF20E9" w14:textId="136475B4" w:rsidR="003949A8" w:rsidRDefault="003949A8" w:rsidP="003949A8">
          <w:pPr>
            <w:pStyle w:val="Sidfot"/>
          </w:pPr>
          <w:r>
            <w:rPr>
              <w:rStyle w:val="Platshllartext"/>
              <w:color w:val="auto"/>
            </w:rPr>
            <w:t>Göteborgs Stad Grundskoleförvaltningen</w:t>
          </w:r>
        </w:p>
      </w:tc>
      <w:tc>
        <w:tcPr>
          <w:tcW w:w="2570" w:type="dxa"/>
        </w:tcPr>
        <w:p w14:paraId="78FE68AD" w14:textId="77777777" w:rsidR="003949A8" w:rsidRPr="004473A7" w:rsidRDefault="003949A8" w:rsidP="003949A8">
          <w:pPr>
            <w:pStyle w:val="Sidfot"/>
            <w:jc w:val="right"/>
          </w:pPr>
        </w:p>
      </w:tc>
    </w:tr>
    <w:tr w:rsidR="003949A8" w14:paraId="57E94EF7" w14:textId="77777777" w:rsidTr="00984D68">
      <w:trPr>
        <w:trHeight w:hRule="exact" w:val="284"/>
      </w:trPr>
      <w:tc>
        <w:tcPr>
          <w:tcW w:w="3261" w:type="dxa"/>
        </w:tcPr>
        <w:p w14:paraId="29AC2843" w14:textId="0CF89CF6" w:rsidR="003949A8" w:rsidRDefault="003949A8" w:rsidP="003949A8">
          <w:pPr>
            <w:pStyle w:val="Sidfot"/>
            <w:spacing w:afterAutospacing="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Kulturskolan</w:t>
          </w:r>
        </w:p>
      </w:tc>
      <w:tc>
        <w:tcPr>
          <w:tcW w:w="4942" w:type="dxa"/>
        </w:tcPr>
        <w:p w14:paraId="4C915D1E" w14:textId="38AA32A7" w:rsidR="003949A8" w:rsidRDefault="003949A8" w:rsidP="003949A8">
          <w:pPr>
            <w:pStyle w:val="Sidfot"/>
            <w:spacing w:after="100"/>
          </w:pPr>
        </w:p>
      </w:tc>
      <w:tc>
        <w:tcPr>
          <w:tcW w:w="2570" w:type="dxa"/>
          <w:vAlign w:val="bottom"/>
        </w:tcPr>
        <w:p w14:paraId="7FAE2C60" w14:textId="77777777" w:rsidR="003949A8" w:rsidRDefault="003949A8" w:rsidP="003949A8">
          <w:pPr>
            <w:pStyle w:val="Sidfot"/>
            <w:spacing w:afterAutospacing="0"/>
            <w:jc w:val="right"/>
          </w:pPr>
        </w:p>
      </w:tc>
    </w:tr>
    <w:tr w:rsidR="003949A8" w14:paraId="068719B2" w14:textId="77777777" w:rsidTr="00984D68">
      <w:trPr>
        <w:trHeight w:hRule="exact" w:val="284"/>
      </w:trPr>
      <w:tc>
        <w:tcPr>
          <w:tcW w:w="3261" w:type="dxa"/>
        </w:tcPr>
        <w:p w14:paraId="2C874FBE" w14:textId="0A298957" w:rsidR="003949A8" w:rsidRDefault="003949A8" w:rsidP="003949A8">
          <w:pPr>
            <w:pStyle w:val="Sidfot"/>
          </w:pPr>
          <w:r>
            <w:t>Box 1015, 405 21 Göteborg</w:t>
          </w:r>
        </w:p>
      </w:tc>
      <w:tc>
        <w:tcPr>
          <w:tcW w:w="4942" w:type="dxa"/>
        </w:tcPr>
        <w:p w14:paraId="5E0B0915" w14:textId="76869051" w:rsidR="003949A8" w:rsidRDefault="003949A8" w:rsidP="003949A8">
          <w:pPr>
            <w:pStyle w:val="Sidfot"/>
          </w:pPr>
        </w:p>
      </w:tc>
      <w:tc>
        <w:tcPr>
          <w:tcW w:w="2570" w:type="dxa"/>
          <w:vAlign w:val="bottom"/>
        </w:tcPr>
        <w:p w14:paraId="68685B65" w14:textId="0267C798" w:rsidR="003949A8" w:rsidRDefault="003949A8" w:rsidP="003949A8">
          <w:pPr>
            <w:pStyle w:val="Sidfot"/>
            <w:spacing w:afterAutospacing="0"/>
            <w:jc w:val="right"/>
          </w:pPr>
          <w:r>
            <w:t>www.goteborg.se/kulturskolan</w:t>
          </w:r>
        </w:p>
      </w:tc>
    </w:tr>
  </w:tbl>
  <w:p w14:paraId="07F179A4" w14:textId="77777777" w:rsidR="0002262A" w:rsidRDefault="000226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548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969"/>
      <w:gridCol w:w="4234"/>
      <w:gridCol w:w="2570"/>
    </w:tblGrid>
    <w:tr w:rsidR="008C2A64" w14:paraId="6A8C12F2" w14:textId="77777777" w:rsidTr="00DB24A7">
      <w:trPr>
        <w:trHeight w:hRule="exact" w:val="284"/>
      </w:trPr>
      <w:tc>
        <w:tcPr>
          <w:tcW w:w="3969" w:type="dxa"/>
        </w:tcPr>
        <w:p w14:paraId="4A493EEA" w14:textId="77777777" w:rsidR="008C2A64" w:rsidRDefault="008C2A64" w:rsidP="008C2A64">
          <w:pPr>
            <w:pStyle w:val="Sidfot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Göteborgs Stad Grundskoleförvaltningen</w:t>
          </w:r>
        </w:p>
      </w:tc>
      <w:tc>
        <w:tcPr>
          <w:tcW w:w="4234" w:type="dxa"/>
        </w:tcPr>
        <w:p w14:paraId="76FF8659" w14:textId="77777777" w:rsidR="008C2A64" w:rsidRDefault="008C2A64" w:rsidP="008C2A64">
          <w:pPr>
            <w:pStyle w:val="Sidfot"/>
            <w:spacing w:after="100"/>
          </w:pPr>
        </w:p>
      </w:tc>
      <w:tc>
        <w:tcPr>
          <w:tcW w:w="2570" w:type="dxa"/>
          <w:vAlign w:val="bottom"/>
        </w:tcPr>
        <w:p w14:paraId="43D20163" w14:textId="77777777" w:rsidR="008C2A64" w:rsidRDefault="008C2A64" w:rsidP="008C2A64">
          <w:pPr>
            <w:pStyle w:val="Sidfot"/>
            <w:jc w:val="right"/>
          </w:pPr>
        </w:p>
      </w:tc>
    </w:tr>
    <w:tr w:rsidR="008C2A64" w14:paraId="6616A122" w14:textId="77777777" w:rsidTr="00DB24A7">
      <w:trPr>
        <w:trHeight w:hRule="exact" w:val="284"/>
      </w:trPr>
      <w:tc>
        <w:tcPr>
          <w:tcW w:w="3969" w:type="dxa"/>
        </w:tcPr>
        <w:p w14:paraId="1ABFC1E8" w14:textId="77777777" w:rsidR="008C2A64" w:rsidRDefault="008C2A64" w:rsidP="008C2A64">
          <w:pPr>
            <w:pStyle w:val="Sidfot"/>
            <w:spacing w:afterAutospacing="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Kulturskolan</w:t>
          </w:r>
        </w:p>
      </w:tc>
      <w:tc>
        <w:tcPr>
          <w:tcW w:w="4234" w:type="dxa"/>
        </w:tcPr>
        <w:p w14:paraId="497E9BA6" w14:textId="77777777" w:rsidR="008C2A64" w:rsidRDefault="008C2A64" w:rsidP="008C2A64">
          <w:pPr>
            <w:pStyle w:val="Sidfot"/>
            <w:spacing w:after="100"/>
          </w:pPr>
        </w:p>
      </w:tc>
      <w:tc>
        <w:tcPr>
          <w:tcW w:w="2570" w:type="dxa"/>
          <w:vAlign w:val="bottom"/>
        </w:tcPr>
        <w:p w14:paraId="19261C41" w14:textId="77777777" w:rsidR="008C2A64" w:rsidRDefault="008C2A64" w:rsidP="008C2A64">
          <w:pPr>
            <w:pStyle w:val="Sidfot"/>
            <w:spacing w:afterAutospacing="0"/>
            <w:jc w:val="right"/>
          </w:pPr>
        </w:p>
      </w:tc>
    </w:tr>
    <w:tr w:rsidR="008C2A64" w14:paraId="4E4C3D66" w14:textId="77777777" w:rsidTr="00DB24A7">
      <w:trPr>
        <w:trHeight w:hRule="exact" w:val="284"/>
      </w:trPr>
      <w:tc>
        <w:tcPr>
          <w:tcW w:w="3969" w:type="dxa"/>
        </w:tcPr>
        <w:p w14:paraId="0D30860C" w14:textId="77777777" w:rsidR="008C2A64" w:rsidRDefault="008C2A64" w:rsidP="008C2A64">
          <w:pPr>
            <w:pStyle w:val="Sidfot"/>
          </w:pPr>
          <w:r>
            <w:t>Box 1015, 405 21 Göteborg</w:t>
          </w:r>
        </w:p>
      </w:tc>
      <w:tc>
        <w:tcPr>
          <w:tcW w:w="4234" w:type="dxa"/>
        </w:tcPr>
        <w:p w14:paraId="19933508" w14:textId="77777777" w:rsidR="008C2A64" w:rsidRDefault="008C2A64" w:rsidP="008C2A64">
          <w:pPr>
            <w:pStyle w:val="Sidfot"/>
          </w:pPr>
        </w:p>
      </w:tc>
      <w:tc>
        <w:tcPr>
          <w:tcW w:w="2570" w:type="dxa"/>
          <w:vAlign w:val="bottom"/>
        </w:tcPr>
        <w:p w14:paraId="3F663000" w14:textId="77777777" w:rsidR="008C2A64" w:rsidRDefault="008C2A64" w:rsidP="008C2A64">
          <w:pPr>
            <w:pStyle w:val="Sidfot"/>
            <w:spacing w:afterAutospacing="0"/>
            <w:jc w:val="right"/>
          </w:pPr>
          <w:r>
            <w:t>www.goteborg.se/kulturskolan</w:t>
          </w:r>
        </w:p>
      </w:tc>
    </w:tr>
  </w:tbl>
  <w:p w14:paraId="5DDC643E" w14:textId="77777777" w:rsidR="008C2A64" w:rsidRDefault="008C2A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FD88" w14:textId="77777777" w:rsidR="008257FA" w:rsidRDefault="008257FA" w:rsidP="00BF282B">
      <w:pPr>
        <w:spacing w:after="0"/>
      </w:pPr>
      <w:r>
        <w:separator/>
      </w:r>
    </w:p>
  </w:footnote>
  <w:footnote w:type="continuationSeparator" w:id="0">
    <w:p w14:paraId="1D59164D" w14:textId="77777777" w:rsidR="008257FA" w:rsidRDefault="008257FA" w:rsidP="00BF282B">
      <w:pPr>
        <w:spacing w:after="0"/>
      </w:pPr>
      <w:r>
        <w:continuationSeparator/>
      </w:r>
    </w:p>
  </w:footnote>
  <w:footnote w:type="continuationNotice" w:id="1">
    <w:p w14:paraId="4A9CC93C" w14:textId="77777777" w:rsidR="008257FA" w:rsidRDefault="008257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DB24A7" w14:paraId="66C8E73A" w14:textId="77777777" w:rsidTr="00B65C0A">
      <w:tc>
        <w:tcPr>
          <w:tcW w:w="6060" w:type="dxa"/>
          <w:tcBorders>
            <w:bottom w:val="nil"/>
          </w:tcBorders>
          <w:vAlign w:val="bottom"/>
        </w:tcPr>
        <w:p w14:paraId="4841EB94" w14:textId="77777777" w:rsidR="00B508EB" w:rsidRDefault="00B65C0A" w:rsidP="00C72B0F">
          <w:pPr>
            <w:pStyle w:val="Sidhuvud"/>
          </w:pPr>
          <w:r>
            <w:t>Kulturskolan</w:t>
          </w:r>
        </w:p>
      </w:tc>
      <w:tc>
        <w:tcPr>
          <w:tcW w:w="4713" w:type="dxa"/>
          <w:tcBorders>
            <w:bottom w:val="nil"/>
          </w:tcBorders>
        </w:tcPr>
        <w:p w14:paraId="23F77179" w14:textId="77777777" w:rsidR="00DB24A7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066711F" wp14:editId="350E9252">
                <wp:extent cx="1441706" cy="481584"/>
                <wp:effectExtent l="0" t="0" r="8255" b="0"/>
                <wp:docPr id="13" name="Bildobjekt 1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B24A7" w14:paraId="71916CBE" w14:textId="77777777" w:rsidTr="00B65C0A">
      <w:tc>
        <w:tcPr>
          <w:tcW w:w="6060" w:type="dxa"/>
          <w:tcBorders>
            <w:top w:val="nil"/>
            <w:bottom w:val="nil"/>
          </w:tcBorders>
          <w:shd w:val="clear" w:color="auto" w:fill="auto"/>
        </w:tcPr>
        <w:p w14:paraId="445B85B8" w14:textId="77777777" w:rsidR="00DB24A7" w:rsidRDefault="00DB24A7" w:rsidP="00C72B0F">
          <w:pPr>
            <w:pStyle w:val="Sidhuvud"/>
            <w:spacing w:after="100"/>
          </w:pPr>
        </w:p>
      </w:tc>
      <w:tc>
        <w:tcPr>
          <w:tcW w:w="4713" w:type="dxa"/>
          <w:tcBorders>
            <w:bottom w:val="nil"/>
          </w:tcBorders>
          <w:shd w:val="clear" w:color="auto" w:fill="auto"/>
        </w:tcPr>
        <w:p w14:paraId="0625C208" w14:textId="77777777" w:rsidR="00DB24A7" w:rsidRDefault="00DB24A7" w:rsidP="00C72B0F">
          <w:pPr>
            <w:pStyle w:val="Sidhuvud"/>
            <w:spacing w:after="100"/>
            <w:jc w:val="right"/>
          </w:pPr>
        </w:p>
      </w:tc>
    </w:tr>
  </w:tbl>
  <w:p w14:paraId="7305ABEF" w14:textId="77777777" w:rsidR="00DB24A7" w:rsidRDefault="00DB24A7" w:rsidP="00EE3C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7A78"/>
    <w:multiLevelType w:val="hybridMultilevel"/>
    <w:tmpl w:val="48FAF9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C2526"/>
    <w:multiLevelType w:val="hybridMultilevel"/>
    <w:tmpl w:val="B1E08A16"/>
    <w:lvl w:ilvl="0" w:tplc="5798CD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334EF"/>
    <w:multiLevelType w:val="hybridMultilevel"/>
    <w:tmpl w:val="E47ABA46"/>
    <w:lvl w:ilvl="0" w:tplc="A5B49C34">
      <w:start w:val="1"/>
      <w:numFmt w:val="decimal"/>
      <w:lvlText w:val="%1."/>
      <w:lvlJc w:val="left"/>
      <w:pPr>
        <w:ind w:left="564" w:hanging="564"/>
      </w:pPr>
      <w:rPr>
        <w:rFonts w:asciiTheme="majorHAnsi" w:hAnsiTheme="majorHAnsi" w:cstheme="majorBidi" w:hint="default"/>
        <w:sz w:val="56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D2A9A"/>
    <w:multiLevelType w:val="hybridMultilevel"/>
    <w:tmpl w:val="3FCE2BE0"/>
    <w:lvl w:ilvl="0" w:tplc="BE8A65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F5EE8"/>
    <w:multiLevelType w:val="hybridMultilevel"/>
    <w:tmpl w:val="BE56829C"/>
    <w:lvl w:ilvl="0" w:tplc="BDDAFE4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156C03"/>
    <w:multiLevelType w:val="hybridMultilevel"/>
    <w:tmpl w:val="8BBC4014"/>
    <w:lvl w:ilvl="0" w:tplc="80B2A6D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745367"/>
    <w:multiLevelType w:val="hybridMultilevel"/>
    <w:tmpl w:val="27DEB52A"/>
    <w:lvl w:ilvl="0" w:tplc="0578391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F7"/>
    <w:rsid w:val="0002262A"/>
    <w:rsid w:val="00033984"/>
    <w:rsid w:val="00041B5A"/>
    <w:rsid w:val="00077F10"/>
    <w:rsid w:val="00094504"/>
    <w:rsid w:val="000B6F6F"/>
    <w:rsid w:val="000C68BA"/>
    <w:rsid w:val="000C6B6F"/>
    <w:rsid w:val="000F2B85"/>
    <w:rsid w:val="00101410"/>
    <w:rsid w:val="0011061F"/>
    <w:rsid w:val="0011381D"/>
    <w:rsid w:val="00113CDB"/>
    <w:rsid w:val="00126C77"/>
    <w:rsid w:val="0013178D"/>
    <w:rsid w:val="00142FEF"/>
    <w:rsid w:val="001714A2"/>
    <w:rsid w:val="00173F0C"/>
    <w:rsid w:val="00180041"/>
    <w:rsid w:val="0018228B"/>
    <w:rsid w:val="001C2218"/>
    <w:rsid w:val="001C3A57"/>
    <w:rsid w:val="001C569F"/>
    <w:rsid w:val="001D645F"/>
    <w:rsid w:val="001E4290"/>
    <w:rsid w:val="0021005A"/>
    <w:rsid w:val="00222E8C"/>
    <w:rsid w:val="00236E2E"/>
    <w:rsid w:val="00240A6B"/>
    <w:rsid w:val="00241F59"/>
    <w:rsid w:val="00243B78"/>
    <w:rsid w:val="00255723"/>
    <w:rsid w:val="00257F49"/>
    <w:rsid w:val="00276A5A"/>
    <w:rsid w:val="00295BA7"/>
    <w:rsid w:val="002D09F7"/>
    <w:rsid w:val="002E5DB0"/>
    <w:rsid w:val="002E5F5A"/>
    <w:rsid w:val="00310D42"/>
    <w:rsid w:val="003164EC"/>
    <w:rsid w:val="00324780"/>
    <w:rsid w:val="00332A7F"/>
    <w:rsid w:val="00344E96"/>
    <w:rsid w:val="00350FEF"/>
    <w:rsid w:val="003545CD"/>
    <w:rsid w:val="00367F49"/>
    <w:rsid w:val="00372CB4"/>
    <w:rsid w:val="00380040"/>
    <w:rsid w:val="003949A8"/>
    <w:rsid w:val="003D6272"/>
    <w:rsid w:val="00414E79"/>
    <w:rsid w:val="004235C2"/>
    <w:rsid w:val="00440D30"/>
    <w:rsid w:val="00442BFF"/>
    <w:rsid w:val="004443A5"/>
    <w:rsid w:val="004569B9"/>
    <w:rsid w:val="00465EED"/>
    <w:rsid w:val="00470F89"/>
    <w:rsid w:val="00473C11"/>
    <w:rsid w:val="0047461F"/>
    <w:rsid w:val="004A5252"/>
    <w:rsid w:val="004B2433"/>
    <w:rsid w:val="004B287C"/>
    <w:rsid w:val="004C0571"/>
    <w:rsid w:val="004C78B0"/>
    <w:rsid w:val="004F3AAC"/>
    <w:rsid w:val="00521790"/>
    <w:rsid w:val="00542AAC"/>
    <w:rsid w:val="00566294"/>
    <w:rsid w:val="005729A0"/>
    <w:rsid w:val="00597ACB"/>
    <w:rsid w:val="005C0B10"/>
    <w:rsid w:val="005E6622"/>
    <w:rsid w:val="005F5390"/>
    <w:rsid w:val="00601E7C"/>
    <w:rsid w:val="00607F19"/>
    <w:rsid w:val="00612688"/>
    <w:rsid w:val="006135E5"/>
    <w:rsid w:val="00613965"/>
    <w:rsid w:val="00623D4E"/>
    <w:rsid w:val="00631C23"/>
    <w:rsid w:val="00633E55"/>
    <w:rsid w:val="006772D2"/>
    <w:rsid w:val="00690A7F"/>
    <w:rsid w:val="006A4B48"/>
    <w:rsid w:val="006A5E4D"/>
    <w:rsid w:val="006D015B"/>
    <w:rsid w:val="006D53CD"/>
    <w:rsid w:val="006D5B70"/>
    <w:rsid w:val="006F56F7"/>
    <w:rsid w:val="00712244"/>
    <w:rsid w:val="00720B05"/>
    <w:rsid w:val="007245D0"/>
    <w:rsid w:val="00742AE2"/>
    <w:rsid w:val="007517BE"/>
    <w:rsid w:val="00757443"/>
    <w:rsid w:val="00766929"/>
    <w:rsid w:val="00770200"/>
    <w:rsid w:val="00771CED"/>
    <w:rsid w:val="007912FA"/>
    <w:rsid w:val="007A0E1C"/>
    <w:rsid w:val="0080003D"/>
    <w:rsid w:val="008104A4"/>
    <w:rsid w:val="00814D55"/>
    <w:rsid w:val="008257FA"/>
    <w:rsid w:val="00831E91"/>
    <w:rsid w:val="0083774B"/>
    <w:rsid w:val="00842003"/>
    <w:rsid w:val="008444BE"/>
    <w:rsid w:val="008760F6"/>
    <w:rsid w:val="008C2A64"/>
    <w:rsid w:val="008D010C"/>
    <w:rsid w:val="008D1C53"/>
    <w:rsid w:val="008D2FC6"/>
    <w:rsid w:val="008E56C2"/>
    <w:rsid w:val="009018B4"/>
    <w:rsid w:val="00937952"/>
    <w:rsid w:val="009433F3"/>
    <w:rsid w:val="009624D4"/>
    <w:rsid w:val="00984D68"/>
    <w:rsid w:val="00985ACB"/>
    <w:rsid w:val="00986A1D"/>
    <w:rsid w:val="009B4E2A"/>
    <w:rsid w:val="009D4D5C"/>
    <w:rsid w:val="009E77E6"/>
    <w:rsid w:val="009F21B0"/>
    <w:rsid w:val="00A074B5"/>
    <w:rsid w:val="00A216C1"/>
    <w:rsid w:val="00A26B32"/>
    <w:rsid w:val="00A345C1"/>
    <w:rsid w:val="00A35B33"/>
    <w:rsid w:val="00A3668C"/>
    <w:rsid w:val="00A47AD9"/>
    <w:rsid w:val="00A51941"/>
    <w:rsid w:val="00A51FD1"/>
    <w:rsid w:val="00A62CB8"/>
    <w:rsid w:val="00A71612"/>
    <w:rsid w:val="00A8112E"/>
    <w:rsid w:val="00AA0284"/>
    <w:rsid w:val="00AC1648"/>
    <w:rsid w:val="00AD30AA"/>
    <w:rsid w:val="00AE5147"/>
    <w:rsid w:val="00AE5F41"/>
    <w:rsid w:val="00B111C1"/>
    <w:rsid w:val="00B15EB9"/>
    <w:rsid w:val="00B3509E"/>
    <w:rsid w:val="00B44745"/>
    <w:rsid w:val="00B456FF"/>
    <w:rsid w:val="00B45BAF"/>
    <w:rsid w:val="00B508EB"/>
    <w:rsid w:val="00B604D0"/>
    <w:rsid w:val="00B63E0E"/>
    <w:rsid w:val="00B65C0A"/>
    <w:rsid w:val="00BA1320"/>
    <w:rsid w:val="00BD05A4"/>
    <w:rsid w:val="00BD0663"/>
    <w:rsid w:val="00BD30BF"/>
    <w:rsid w:val="00BE17BC"/>
    <w:rsid w:val="00BE5760"/>
    <w:rsid w:val="00BF1EC3"/>
    <w:rsid w:val="00BF282B"/>
    <w:rsid w:val="00C0363D"/>
    <w:rsid w:val="00C10045"/>
    <w:rsid w:val="00C26C5A"/>
    <w:rsid w:val="00C54FAB"/>
    <w:rsid w:val="00C66096"/>
    <w:rsid w:val="00C72399"/>
    <w:rsid w:val="00C72B0F"/>
    <w:rsid w:val="00C85A21"/>
    <w:rsid w:val="00C86A29"/>
    <w:rsid w:val="00C94C93"/>
    <w:rsid w:val="00CB5DDC"/>
    <w:rsid w:val="00CB671B"/>
    <w:rsid w:val="00CD65E8"/>
    <w:rsid w:val="00D0419E"/>
    <w:rsid w:val="00D2119D"/>
    <w:rsid w:val="00D21D96"/>
    <w:rsid w:val="00D22966"/>
    <w:rsid w:val="00D42865"/>
    <w:rsid w:val="00D731D2"/>
    <w:rsid w:val="00D90CD8"/>
    <w:rsid w:val="00D91804"/>
    <w:rsid w:val="00D93F53"/>
    <w:rsid w:val="00D96684"/>
    <w:rsid w:val="00D97FE7"/>
    <w:rsid w:val="00DA2143"/>
    <w:rsid w:val="00DA684F"/>
    <w:rsid w:val="00DA76F6"/>
    <w:rsid w:val="00DB24A7"/>
    <w:rsid w:val="00DC59E4"/>
    <w:rsid w:val="00DC6E79"/>
    <w:rsid w:val="00DE4FAE"/>
    <w:rsid w:val="00DF152D"/>
    <w:rsid w:val="00E11731"/>
    <w:rsid w:val="00E3053D"/>
    <w:rsid w:val="00E3263C"/>
    <w:rsid w:val="00E3782E"/>
    <w:rsid w:val="00E52F79"/>
    <w:rsid w:val="00E61F69"/>
    <w:rsid w:val="00EC0AB7"/>
    <w:rsid w:val="00EE3C43"/>
    <w:rsid w:val="00EF388D"/>
    <w:rsid w:val="00F4117C"/>
    <w:rsid w:val="00F57801"/>
    <w:rsid w:val="00F64392"/>
    <w:rsid w:val="00F66187"/>
    <w:rsid w:val="00F66AFA"/>
    <w:rsid w:val="00F71825"/>
    <w:rsid w:val="00FA0781"/>
    <w:rsid w:val="00FB3384"/>
    <w:rsid w:val="00FB3531"/>
    <w:rsid w:val="00FC497C"/>
    <w:rsid w:val="05237118"/>
    <w:rsid w:val="05EC313F"/>
    <w:rsid w:val="09155CCF"/>
    <w:rsid w:val="0AC8C1F6"/>
    <w:rsid w:val="0B62FBC2"/>
    <w:rsid w:val="0E11F742"/>
    <w:rsid w:val="0F664CE7"/>
    <w:rsid w:val="16B99999"/>
    <w:rsid w:val="17838A45"/>
    <w:rsid w:val="178E1CA1"/>
    <w:rsid w:val="1D109971"/>
    <w:rsid w:val="1ED077F1"/>
    <w:rsid w:val="1EF2EEA3"/>
    <w:rsid w:val="26836C85"/>
    <w:rsid w:val="27A66086"/>
    <w:rsid w:val="2A273A69"/>
    <w:rsid w:val="2AF2FC85"/>
    <w:rsid w:val="2B54FFF5"/>
    <w:rsid w:val="2E1B6F75"/>
    <w:rsid w:val="34DE96C9"/>
    <w:rsid w:val="367BDDE3"/>
    <w:rsid w:val="383E6045"/>
    <w:rsid w:val="39F852B9"/>
    <w:rsid w:val="3B5BA10E"/>
    <w:rsid w:val="3FBE723D"/>
    <w:rsid w:val="4079D757"/>
    <w:rsid w:val="4087550F"/>
    <w:rsid w:val="411B0D2B"/>
    <w:rsid w:val="42B48A32"/>
    <w:rsid w:val="43300CF4"/>
    <w:rsid w:val="445ED2F3"/>
    <w:rsid w:val="4489CC81"/>
    <w:rsid w:val="4502A8E1"/>
    <w:rsid w:val="4547EB26"/>
    <w:rsid w:val="45540711"/>
    <w:rsid w:val="4ADA65F8"/>
    <w:rsid w:val="4AF90E05"/>
    <w:rsid w:val="561349BE"/>
    <w:rsid w:val="57FE02CA"/>
    <w:rsid w:val="582C4A0A"/>
    <w:rsid w:val="5D636B76"/>
    <w:rsid w:val="5EF469EA"/>
    <w:rsid w:val="5FA2A431"/>
    <w:rsid w:val="62590DE9"/>
    <w:rsid w:val="641DCA8D"/>
    <w:rsid w:val="6607AD58"/>
    <w:rsid w:val="675EADDD"/>
    <w:rsid w:val="691666FD"/>
    <w:rsid w:val="6D705F64"/>
    <w:rsid w:val="6E7DBC28"/>
    <w:rsid w:val="73B49500"/>
    <w:rsid w:val="7412EF9A"/>
    <w:rsid w:val="7505C781"/>
    <w:rsid w:val="786B7509"/>
    <w:rsid w:val="7B6E5BC1"/>
    <w:rsid w:val="7FC8F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A1438"/>
  <w15:docId w15:val="{ABE45D77-C0B4-4DDD-AA50-412018E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78D"/>
    <w:pPr>
      <w:spacing w:after="160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D96684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5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96684"/>
    <w:pPr>
      <w:keepNext/>
      <w:keepLines/>
      <w:spacing w:before="400" w:after="8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6684"/>
    <w:rPr>
      <w:rFonts w:asciiTheme="majorHAnsi" w:eastAsiaTheme="majorEastAsia" w:hAnsiTheme="majorHAnsi" w:cstheme="majorBidi"/>
      <w:b/>
      <w:color w:val="262626" w:themeColor="text1" w:themeTint="D9"/>
      <w:sz w:val="5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96684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D9668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/>
    </w:pPr>
    <w:rPr>
      <w:rFonts w:ascii="Arial Black" w:hAnsi="Arial Black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02262A"/>
    <w:pPr>
      <w:tabs>
        <w:tab w:val="center" w:pos="4513"/>
        <w:tab w:val="right" w:pos="9026"/>
      </w:tabs>
      <w:spacing w:after="0" w:line="48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02262A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C8C8C8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A35B33"/>
    <w:pPr>
      <w:pBdr>
        <w:top w:val="single" w:sz="4" w:space="6" w:color="F8CCDC" w:themeColor="accent6"/>
        <w:left w:val="single" w:sz="4" w:space="6" w:color="F8CCDC" w:themeColor="accent6"/>
        <w:bottom w:val="single" w:sz="4" w:space="6" w:color="F8CCDC" w:themeColor="accent6"/>
        <w:right w:val="single" w:sz="4" w:space="6" w:color="F8CCDC" w:themeColor="accent6"/>
      </w:pBdr>
      <w:shd w:val="clear" w:color="auto" w:fill="FCEAF0" w:themeFill="accent6" w:themeFillTint="66"/>
      <w:spacing w:after="200" w:line="240" w:lineRule="atLeast"/>
      <w:ind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54FAB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Revision">
    <w:name w:val="Revision"/>
    <w:hidden/>
    <w:uiPriority w:val="99"/>
    <w:semiHidden/>
    <w:rsid w:val="0047461F"/>
    <w:pPr>
      <w:spacing w:after="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CB5D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B5DD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B5D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B5D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B5D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v.se/globalassets/filer/publikationer/foreskrifter/organisatorisk-och-social-arbetsmiljo-foreskrifter-afs2015_4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v.se/globalassets/filer/publikationer/bocker/arbetstidslagen-med-kommentarer-bok-h026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.se/globalassets/filer/publikationer/foreskrifter/organisatorisk-och-social-arbetsmiljo-foreskrifter-afs2015_4.pdf?_t_id=1B2M2Y8AsgTpgAmY7PhCfg%3d%3d&amp;_t_q=afs+%222015%3a4%22&amp;_t_tags=language%3asv%2csiteid%3ae309af0f-0167-4bd4-b12b-961c55393fb9&amp;_t_ip=62.88.128.54&amp;_t_hit.id=AV_Web_Models_Media_GenericMedia/_0f08f3c6-fc4e-4238-859a-a4d3d2f6aa11&amp;_t_hit.pos=3&amp;hl=afs%202015: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v.se/globalassets/filer/publikationer/foreskrifter/organisatorisk-och-social-arbetsmiljo-foreskrifter-afs2015_4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v.se/globalassets/filer/publikationer/bocker/arbetstidslagen-med-kommentarer-bok-h026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ulturskolan färger">
      <a:dk1>
        <a:sysClr val="windowText" lastClr="000000"/>
      </a:dk1>
      <a:lt1>
        <a:sysClr val="window" lastClr="FFFFFF"/>
      </a:lt1>
      <a:dk2>
        <a:srgbClr val="4B4B4B"/>
      </a:dk2>
      <a:lt2>
        <a:srgbClr val="C8C8C8"/>
      </a:lt2>
      <a:accent1>
        <a:srgbClr val="008391"/>
      </a:accent1>
      <a:accent2>
        <a:srgbClr val="D53878"/>
      </a:accent2>
      <a:accent3>
        <a:srgbClr val="674B99"/>
      </a:accent3>
      <a:accent4>
        <a:srgbClr val="FFCD37"/>
      </a:accent4>
      <a:accent5>
        <a:srgbClr val="B8E1C8"/>
      </a:accent5>
      <a:accent6>
        <a:srgbClr val="F8CCDC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0" ma:contentTypeDescription="Skapa ett nytt dokument." ma:contentTypeScope="" ma:versionID="eccb3afcc9dc1689eb434ba0d41d9311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8ab3c9fcf6fd3909b86c73876bbcecb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49E15-08E6-5346-9611-FECA27BCD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B6991-CF8D-4927-80A4-95715767279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78a4a1-8e33-481e-91d0-97526dccca16"/>
    <ds:schemaRef ds:uri="http://purl.org/dc/elements/1.1/"/>
    <ds:schemaRef ds:uri="http://schemas.microsoft.com/office/2006/metadata/properties"/>
    <ds:schemaRef ds:uri="http://schemas.microsoft.com/office/infopath/2007/PartnerControls"/>
    <ds:schemaRef ds:uri="6464b241-6039-49f7-b83c-749f2048f7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6326FF-1383-4DC4-A9E4-5FCA52AD9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C655E4-38BD-4BC2-AB48-5893759BF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4293</Characters>
  <Application>Microsoft Office Word</Application>
  <DocSecurity>0</DocSecurity>
  <Lines>35</Lines>
  <Paragraphs>10</Paragraphs>
  <ScaleCrop>false</ScaleCrop>
  <Company>[Organisationsnamn]</Company>
  <LinksUpToDate>false</LinksUpToDate>
  <CharactersWithSpaces>5092</CharactersWithSpaces>
  <SharedDoc>false</SharedDoc>
  <HLinks>
    <vt:vector size="30" baseType="variant">
      <vt:variant>
        <vt:i4>3211321</vt:i4>
      </vt:variant>
      <vt:variant>
        <vt:i4>12</vt:i4>
      </vt:variant>
      <vt:variant>
        <vt:i4>0</vt:i4>
      </vt:variant>
      <vt:variant>
        <vt:i4>5</vt:i4>
      </vt:variant>
      <vt:variant>
        <vt:lpwstr>https://www.av.se/globalassets/filer/publikationer/bocker/arbetstidslagen-med-kommentarer-bok-h026.pdf</vt:lpwstr>
      </vt:variant>
      <vt:variant>
        <vt:lpwstr/>
      </vt:variant>
      <vt:variant>
        <vt:i4>1507455</vt:i4>
      </vt:variant>
      <vt:variant>
        <vt:i4>9</vt:i4>
      </vt:variant>
      <vt:variant>
        <vt:i4>0</vt:i4>
      </vt:variant>
      <vt:variant>
        <vt:i4>5</vt:i4>
      </vt:variant>
      <vt:variant>
        <vt:lpwstr>https://www.av.se/globalassets/filer/publikationer/foreskrifter/organisatorisk-och-social-arbetsmiljo-foreskrifter-afs2015_4.pdf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https://www.av.se/globalassets/filer/publikationer/bocker/arbetstidslagen-med-kommentarer-bok-h026.pdf</vt:lpwstr>
      </vt:variant>
      <vt:variant>
        <vt:lpwstr/>
      </vt:variant>
      <vt:variant>
        <vt:i4>1507455</vt:i4>
      </vt:variant>
      <vt:variant>
        <vt:i4>3</vt:i4>
      </vt:variant>
      <vt:variant>
        <vt:i4>0</vt:i4>
      </vt:variant>
      <vt:variant>
        <vt:i4>5</vt:i4>
      </vt:variant>
      <vt:variant>
        <vt:lpwstr>https://www.av.se/globalassets/filer/publikationer/foreskrifter/organisatorisk-och-social-arbetsmiljo-foreskrifter-afs2015_4.pdf</vt:lpwstr>
      </vt:variant>
      <vt:variant>
        <vt:lpwstr/>
      </vt:variant>
      <vt:variant>
        <vt:i4>3473431</vt:i4>
      </vt:variant>
      <vt:variant>
        <vt:i4>0</vt:i4>
      </vt:variant>
      <vt:variant>
        <vt:i4>0</vt:i4>
      </vt:variant>
      <vt:variant>
        <vt:i4>5</vt:i4>
      </vt:variant>
      <vt:variant>
        <vt:lpwstr>https://www.av.se/globalassets/filer/publikationer/foreskrifter/organisatorisk-och-social-arbetsmiljo-foreskrifter-afs2015_4.pdf?_t_id=1B2M2Y8AsgTpgAmY7PhCfg%3d%3d&amp;_t_q=afs+%222015%3a4%22&amp;_t_tags=language%3asv%2csiteid%3ae309af0f-0167-4bd4-b12b-961c55393fb9&amp;_t_ip=62.88.128.54&amp;_t_hit.id=AV_Web_Models_Media_GenericMedia/_0f08f3c6-fc4e-4238-859a-a4d3d2f6aa11&amp;_t_hit.pos=3&amp;hl=afs%202015: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Sofia Odhagen</dc:creator>
  <cp:keywords/>
  <dc:description/>
  <cp:lastModifiedBy>Patrik Kjällgren</cp:lastModifiedBy>
  <cp:revision>2</cp:revision>
  <cp:lastPrinted>2017-01-05T15:29:00Z</cp:lastPrinted>
  <dcterms:created xsi:type="dcterms:W3CDTF">2022-02-21T12:15:00Z</dcterms:created>
  <dcterms:modified xsi:type="dcterms:W3CDTF">2022-02-21T12:15:00Z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0x010100D510B94EB98E8C4F90166E78D8025AB1</vt:lpwstr>
  </property>
</Properties>
</file>